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B2" w:rsidRDefault="003364B2" w:rsidP="00957AE0">
      <w:pPr>
        <w:bidi/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 w:rsidRPr="003364B2">
        <w:rPr>
          <w:rFonts w:cs="B Titr" w:hint="cs"/>
          <w:sz w:val="28"/>
          <w:szCs w:val="28"/>
          <w:rtl/>
        </w:rPr>
        <w:t>قانون نحوه بازنشستگی</w:t>
      </w:r>
      <w:r>
        <w:rPr>
          <w:rFonts w:cs="B Titr" w:hint="cs"/>
          <w:sz w:val="28"/>
          <w:szCs w:val="28"/>
          <w:rtl/>
        </w:rPr>
        <w:t xml:space="preserve"> جانبازان انقلاب اسلامی ایران و جنگ تحمیلی و معلولین عادی و شاغلین مشاغل سخت و زیان آور مصوب 1367</w:t>
      </w:r>
    </w:p>
    <w:p w:rsidR="00E6558A" w:rsidRDefault="003364B2" w:rsidP="00E6558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364B2">
        <w:rPr>
          <w:rFonts w:cs="B Nazanin" w:hint="cs"/>
          <w:b/>
          <w:bCs/>
          <w:sz w:val="28"/>
          <w:szCs w:val="28"/>
          <w:rtl/>
        </w:rPr>
        <w:t xml:space="preserve">ماده واحده: </w:t>
      </w:r>
      <w:r>
        <w:rPr>
          <w:rFonts w:cs="B Nazanin" w:hint="cs"/>
          <w:sz w:val="28"/>
          <w:szCs w:val="28"/>
          <w:rtl/>
        </w:rPr>
        <w:t xml:space="preserve">کلیه وزارتخانه ها، شرکتها، موسسات دولتی، شهرداری ها، بانکها، موسسات و شرکت ها و سازمان هایی که شمول قانون بر آنها مستلزم ذکر نام است می توانند مستخدمین معلول ( اعم از </w:t>
      </w:r>
      <w:r w:rsidRPr="003364B2">
        <w:rPr>
          <w:rFonts w:cs="B Nazanin" w:hint="cs"/>
          <w:b/>
          <w:bCs/>
          <w:sz w:val="28"/>
          <w:szCs w:val="28"/>
          <w:rtl/>
        </w:rPr>
        <w:t>جانبازان  انقلاب اسلامی ایران و جنگ تحمیلی</w:t>
      </w:r>
      <w:r>
        <w:rPr>
          <w:rFonts w:cs="B Nazanin" w:hint="cs"/>
          <w:sz w:val="28"/>
          <w:szCs w:val="28"/>
          <w:rtl/>
        </w:rPr>
        <w:t>، معلولین حوادث ناشی از کار، بیماران ناشی از شرایط خاص کار و معلولین عادی) رسمی یا ثابت دارای عناوین مشابه خود را (بجز کارگران مشمول قانون کار)</w:t>
      </w:r>
      <w:r w:rsidRPr="003364B2">
        <w:rPr>
          <w:rFonts w:cs="B Nazanin" w:hint="cs"/>
          <w:b/>
          <w:bCs/>
          <w:sz w:val="28"/>
          <w:szCs w:val="28"/>
          <w:rtl/>
        </w:rPr>
        <w:t xml:space="preserve"> بشرط داشتن حداقل بیست سال تمام سابقه خدمت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364B2">
        <w:rPr>
          <w:rFonts w:cs="B Nazanin" w:hint="cs"/>
          <w:sz w:val="28"/>
          <w:szCs w:val="28"/>
          <w:rtl/>
        </w:rPr>
        <w:t xml:space="preserve">براساس درخواست کتبی آنان </w:t>
      </w:r>
      <w:r>
        <w:rPr>
          <w:rFonts w:cs="B Nazanin" w:hint="cs"/>
          <w:sz w:val="28"/>
          <w:szCs w:val="28"/>
          <w:rtl/>
        </w:rPr>
        <w:t xml:space="preserve">و تصویب شورای امور اداری </w:t>
      </w:r>
      <w:r w:rsidR="00E6558A">
        <w:rPr>
          <w:rFonts w:cs="B Nazanin" w:hint="cs"/>
          <w:sz w:val="28"/>
          <w:szCs w:val="28"/>
          <w:rtl/>
        </w:rPr>
        <w:t xml:space="preserve">و استخدامی کشور </w:t>
      </w:r>
      <w:r w:rsidR="00E6558A" w:rsidRPr="00E6558A">
        <w:rPr>
          <w:rFonts w:cs="B Nazanin" w:hint="cs"/>
          <w:b/>
          <w:bCs/>
          <w:sz w:val="28"/>
          <w:szCs w:val="28"/>
          <w:rtl/>
        </w:rPr>
        <w:t xml:space="preserve">با افزودن سنوات خدمت ارفاقی که مدت آن </w:t>
      </w:r>
      <w:r w:rsidRPr="00E6558A">
        <w:rPr>
          <w:rFonts w:cs="B Titr" w:hint="cs"/>
          <w:b/>
          <w:bCs/>
          <w:sz w:val="28"/>
          <w:szCs w:val="28"/>
          <w:rtl/>
        </w:rPr>
        <w:t xml:space="preserve"> </w:t>
      </w:r>
      <w:r w:rsidR="00E6558A">
        <w:rPr>
          <w:rFonts w:cs="B Nazanin" w:hint="cs"/>
          <w:sz w:val="28"/>
          <w:szCs w:val="28"/>
          <w:rtl/>
        </w:rPr>
        <w:t xml:space="preserve">ذیلا برحسب نوع و درجه معلولیت و یا بیماری مشخص گردیده است، به مدت خدمات آنان، </w:t>
      </w:r>
      <w:r w:rsidR="00E6558A" w:rsidRPr="00E6558A">
        <w:rPr>
          <w:rFonts w:cs="B Nazanin" w:hint="cs"/>
          <w:b/>
          <w:bCs/>
          <w:sz w:val="28"/>
          <w:szCs w:val="28"/>
          <w:rtl/>
        </w:rPr>
        <w:t>بدون پرداخت کسور</w:t>
      </w:r>
      <w:r w:rsidR="00E6558A">
        <w:rPr>
          <w:rFonts w:cs="B Titr" w:hint="cs"/>
          <w:sz w:val="28"/>
          <w:szCs w:val="28"/>
          <w:rtl/>
        </w:rPr>
        <w:t xml:space="preserve"> </w:t>
      </w:r>
      <w:r w:rsidR="00E6558A">
        <w:rPr>
          <w:rFonts w:cs="B Nazanin" w:hint="cs"/>
          <w:sz w:val="28"/>
          <w:szCs w:val="28"/>
          <w:rtl/>
        </w:rPr>
        <w:t xml:space="preserve">و فقط از لحاظ احتساب حقوق بازنشستگی، </w:t>
      </w:r>
      <w:r w:rsidR="00E6558A" w:rsidRPr="00E6558A">
        <w:rPr>
          <w:rFonts w:cs="B Nazanin" w:hint="cs"/>
          <w:b/>
          <w:bCs/>
          <w:sz w:val="28"/>
          <w:szCs w:val="28"/>
          <w:rtl/>
        </w:rPr>
        <w:t>بازنشسته نمایند.</w:t>
      </w:r>
    </w:p>
    <w:p w:rsidR="0025105C" w:rsidRDefault="003364B2" w:rsidP="00E6558A">
      <w:pPr>
        <w:bidi/>
        <w:jc w:val="both"/>
        <w:rPr>
          <w:rFonts w:cs="B Nazanin"/>
          <w:sz w:val="28"/>
          <w:szCs w:val="28"/>
          <w:rtl/>
        </w:rPr>
      </w:pPr>
      <w:r w:rsidRPr="00E6558A">
        <w:rPr>
          <w:rFonts w:cs="B Nazanin" w:hint="cs"/>
          <w:sz w:val="28"/>
          <w:szCs w:val="28"/>
          <w:rtl/>
        </w:rPr>
        <w:t xml:space="preserve"> </w:t>
      </w:r>
      <w:r w:rsidR="00E6558A" w:rsidRPr="00957AE0">
        <w:rPr>
          <w:rFonts w:cs="B Nazanin" w:hint="cs"/>
          <w:b/>
          <w:bCs/>
          <w:sz w:val="28"/>
          <w:szCs w:val="28"/>
          <w:rtl/>
        </w:rPr>
        <w:t>خدمت زاید بر سی سال این افراد قابل محاسبه نبوده</w:t>
      </w:r>
      <w:r w:rsidR="00E6558A">
        <w:rPr>
          <w:rFonts w:cs="B Nazanin" w:hint="cs"/>
          <w:sz w:val="28"/>
          <w:szCs w:val="28"/>
          <w:rtl/>
        </w:rPr>
        <w:t xml:space="preserve"> و در تعیین حقوق بازنشستگی آنان آخرین حقوق قبل از بازنشستگی مبنای محاسبه قرار می گیرد.</w:t>
      </w:r>
    </w:p>
    <w:p w:rsidR="00E6558A" w:rsidRDefault="00E6558A" w:rsidP="00E6558A">
      <w:pPr>
        <w:bidi/>
        <w:jc w:val="both"/>
        <w:rPr>
          <w:rFonts w:cs="B Nazanin"/>
          <w:sz w:val="28"/>
          <w:szCs w:val="28"/>
          <w:rtl/>
        </w:rPr>
      </w:pPr>
      <w:r w:rsidRPr="008746E1">
        <w:rPr>
          <w:rFonts w:cs="B Nazanin" w:hint="cs"/>
          <w:b/>
          <w:bCs/>
          <w:sz w:val="24"/>
          <w:szCs w:val="24"/>
          <w:rtl/>
        </w:rPr>
        <w:t xml:space="preserve">1 </w:t>
      </w:r>
      <w:r w:rsidRPr="008746E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r w:rsidRPr="00957AE0">
        <w:rPr>
          <w:rFonts w:cs="B Nazanin" w:hint="cs"/>
          <w:b/>
          <w:bCs/>
          <w:sz w:val="28"/>
          <w:szCs w:val="28"/>
          <w:rtl/>
        </w:rPr>
        <w:t>در مورد جانبازان انقلاب اسلامی ایران و جنگ تحمیلی در درجات بین 20% تا 40% نقص عضو</w:t>
      </w:r>
      <w:r>
        <w:rPr>
          <w:rFonts w:cs="B Nazanin" w:hint="cs"/>
          <w:sz w:val="28"/>
          <w:szCs w:val="28"/>
          <w:rtl/>
        </w:rPr>
        <w:t xml:space="preserve"> یا اعضا یا کاهش توانایی ها برای انجام کار </w:t>
      </w:r>
      <w:r w:rsidRPr="00957AE0">
        <w:rPr>
          <w:rFonts w:cs="B Nazanin" w:hint="cs"/>
          <w:b/>
          <w:bCs/>
          <w:sz w:val="28"/>
          <w:szCs w:val="28"/>
          <w:rtl/>
        </w:rPr>
        <w:t xml:space="preserve">حداقل سه و حداکثر شش سال </w:t>
      </w:r>
      <w:r w:rsidR="00B072A3" w:rsidRPr="00957AE0">
        <w:rPr>
          <w:rFonts w:cs="B Nazanin" w:hint="cs"/>
          <w:b/>
          <w:bCs/>
          <w:sz w:val="28"/>
          <w:szCs w:val="28"/>
          <w:rtl/>
        </w:rPr>
        <w:t>و درجات بین 40% تا آستانه از کارافتادگی</w:t>
      </w:r>
      <w:r w:rsidR="00B072A3">
        <w:rPr>
          <w:rFonts w:cs="B Nazanin" w:hint="cs"/>
          <w:sz w:val="28"/>
          <w:szCs w:val="28"/>
          <w:rtl/>
        </w:rPr>
        <w:t xml:space="preserve"> کامل </w:t>
      </w:r>
      <w:r w:rsidR="00B072A3" w:rsidRPr="00957AE0">
        <w:rPr>
          <w:rFonts w:cs="B Nazanin" w:hint="cs"/>
          <w:b/>
          <w:bCs/>
          <w:sz w:val="28"/>
          <w:szCs w:val="28"/>
          <w:rtl/>
        </w:rPr>
        <w:t>حداقل شش و حداکثر ده سال</w:t>
      </w:r>
      <w:r w:rsidR="00B072A3">
        <w:rPr>
          <w:rFonts w:cs="B Nazanin" w:hint="cs"/>
          <w:sz w:val="28"/>
          <w:szCs w:val="28"/>
          <w:rtl/>
        </w:rPr>
        <w:t xml:space="preserve"> به تناسب درجات فوق به جمع سنوات خدمت مستخدم افزوده می شود ملاک ارفاق از نظر درجه معلولیت </w:t>
      </w:r>
      <w:r w:rsidR="00B072A3" w:rsidRPr="00957AE0">
        <w:rPr>
          <w:rFonts w:cs="B Nazanin" w:hint="cs"/>
          <w:b/>
          <w:bCs/>
          <w:sz w:val="28"/>
          <w:szCs w:val="28"/>
          <w:rtl/>
        </w:rPr>
        <w:t>بالاترین میزان معلولیت</w:t>
      </w:r>
      <w:r w:rsidR="00B072A3">
        <w:rPr>
          <w:rFonts w:cs="B Nazanin" w:hint="cs"/>
          <w:sz w:val="28"/>
          <w:szCs w:val="28"/>
          <w:rtl/>
        </w:rPr>
        <w:t xml:space="preserve"> از آغاز تا زمان بازنشستگی است.</w:t>
      </w:r>
    </w:p>
    <w:p w:rsidR="00B072A3" w:rsidRDefault="00B072A3" w:rsidP="00B072A3">
      <w:pPr>
        <w:bidi/>
        <w:jc w:val="both"/>
        <w:rPr>
          <w:rFonts w:cs="B Nazanin"/>
          <w:sz w:val="28"/>
          <w:szCs w:val="28"/>
          <w:rtl/>
        </w:rPr>
      </w:pPr>
      <w:r w:rsidRPr="008746E1">
        <w:rPr>
          <w:rFonts w:cs="B Nazanin" w:hint="cs"/>
          <w:b/>
          <w:bCs/>
          <w:sz w:val="24"/>
          <w:szCs w:val="24"/>
          <w:rtl/>
        </w:rPr>
        <w:t xml:space="preserve">2 </w:t>
      </w:r>
      <w:r w:rsidRPr="008746E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r w:rsidRPr="00124BAE">
        <w:rPr>
          <w:rFonts w:cs="B Nazanin" w:hint="cs"/>
          <w:b/>
          <w:bCs/>
          <w:sz w:val="26"/>
          <w:szCs w:val="26"/>
          <w:rtl/>
        </w:rPr>
        <w:t>در مورد معلولیت های مربوط به حوادث ناشی از کار و یا بیماری های ناشی از شرایط خاص کار در درجات بین 20% تا 40% تا آستانه از کارافتادگی کامل حداقل پنج و حداکثر هشت سال به تناسب درجات فوق به جمع سنوات خدمت مستخدم افزوده می شود.</w:t>
      </w:r>
    </w:p>
    <w:p w:rsidR="00B072A3" w:rsidRDefault="00B072A3" w:rsidP="00B072A3">
      <w:pPr>
        <w:bidi/>
        <w:jc w:val="both"/>
        <w:rPr>
          <w:rFonts w:cs="B Nazanin"/>
          <w:sz w:val="28"/>
          <w:szCs w:val="28"/>
          <w:rtl/>
        </w:rPr>
      </w:pPr>
      <w:r w:rsidRPr="008746E1">
        <w:rPr>
          <w:rFonts w:cs="B Nazanin" w:hint="cs"/>
          <w:b/>
          <w:bCs/>
          <w:sz w:val="24"/>
          <w:szCs w:val="24"/>
          <w:rtl/>
        </w:rPr>
        <w:t xml:space="preserve">3 </w:t>
      </w:r>
      <w:r w:rsidRPr="008746E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r w:rsidRPr="00124BAE">
        <w:rPr>
          <w:rFonts w:cs="B Nazanin" w:hint="cs"/>
          <w:b/>
          <w:bCs/>
          <w:sz w:val="26"/>
          <w:szCs w:val="26"/>
          <w:rtl/>
        </w:rPr>
        <w:t>در مورد معلولین عادی که به دلایلی غیرناشی از کار معلول شده اند در درجات بین 20% تا 40% نقص عضو یا اعضا یا کاهش تواناییها برای انجام کار حداقل دو و حداکثر سه و درجات بین40% تا آستانه از کارافتادگی کامل حداقل سه و حداکثر شش سال به تناسب درجات فوق به سوابق خدمت مستخدم اضافه می شود.</w:t>
      </w:r>
    </w:p>
    <w:p w:rsidR="00B072A3" w:rsidRDefault="00B072A3" w:rsidP="00B072A3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تبصره(1): </w:t>
      </w:r>
      <w:r w:rsidRPr="00957AE0">
        <w:rPr>
          <w:rFonts w:cs="B Nazanin" w:hint="cs"/>
          <w:b/>
          <w:bCs/>
          <w:sz w:val="28"/>
          <w:szCs w:val="28"/>
          <w:rtl/>
        </w:rPr>
        <w:t>تشخیص درجه معلولیت جانبازان انقلاب اسلامی و جنگ تحمیلی بعهده کمیسیون پزشکی بنیاد شهید</w:t>
      </w:r>
      <w:r>
        <w:rPr>
          <w:rFonts w:cs="B Nazanin" w:hint="cs"/>
          <w:sz w:val="28"/>
          <w:szCs w:val="28"/>
          <w:rtl/>
        </w:rPr>
        <w:t xml:space="preserve"> </w:t>
      </w:r>
      <w:r w:rsidRPr="00124BAE">
        <w:rPr>
          <w:rFonts w:cs="B Nazanin" w:hint="cs"/>
          <w:b/>
          <w:bCs/>
          <w:sz w:val="26"/>
          <w:szCs w:val="26"/>
          <w:rtl/>
        </w:rPr>
        <w:t xml:space="preserve">و تشخیص نوع معلولیت و درجات نقص عضو یا اعضا و یا کاهش توانایی برای انجام کار در مورد افراد مشمول این قانون بعهده کمیسیون </w:t>
      </w:r>
      <w:r w:rsidR="005E58BF" w:rsidRPr="00124BAE">
        <w:rPr>
          <w:rFonts w:cs="B Nazanin" w:hint="cs"/>
          <w:b/>
          <w:bCs/>
          <w:sz w:val="26"/>
          <w:szCs w:val="26"/>
          <w:rtl/>
        </w:rPr>
        <w:t>پزشکی معتمد متشکل از حداقل سه نفر از افراد متخصص بر حسب نوع معلولیت و یا بیماری با معرفی وزارت بهداشت، درمان و آموزش پزشکی خواهد بود و تعیین مدت سنواتی ارفاقی براساس موارد فوق الذکر با شورای امور اداری و استخدامی کشور می باشد.</w:t>
      </w:r>
    </w:p>
    <w:p w:rsidR="005E58BF" w:rsidRPr="00957AE0" w:rsidRDefault="005E58BF" w:rsidP="005E58B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تبصره</w:t>
      </w:r>
      <w:r w:rsidRPr="00957AE0">
        <w:rPr>
          <w:rFonts w:cs="B Nazanin" w:hint="cs"/>
          <w:sz w:val="28"/>
          <w:szCs w:val="28"/>
          <w:rtl/>
        </w:rPr>
        <w:t xml:space="preserve">(2): </w:t>
      </w:r>
      <w:r w:rsidRPr="008746E1">
        <w:rPr>
          <w:rFonts w:cs="B Nazanin" w:hint="cs"/>
          <w:b/>
          <w:bCs/>
          <w:sz w:val="26"/>
          <w:szCs w:val="26"/>
          <w:rtl/>
        </w:rPr>
        <w:t>مستخدمینی که به استناد ماده 79 قانون استخدام کشوری و مقررات مشابه آن در قوانین دستگاه های مذکور در این لایحه از کارافتاده می شون</w:t>
      </w:r>
      <w:r w:rsidR="0081177D" w:rsidRPr="008746E1">
        <w:rPr>
          <w:rFonts w:cs="B Nazanin" w:hint="cs"/>
          <w:b/>
          <w:bCs/>
          <w:sz w:val="26"/>
          <w:szCs w:val="26"/>
          <w:rtl/>
        </w:rPr>
        <w:t>د</w:t>
      </w:r>
      <w:r w:rsidRPr="008746E1">
        <w:rPr>
          <w:rFonts w:cs="B Nazanin" w:hint="cs"/>
          <w:b/>
          <w:bCs/>
          <w:sz w:val="26"/>
          <w:szCs w:val="26"/>
          <w:rtl/>
        </w:rPr>
        <w:t>، حداقل سه سال به سنوات خدمت آنان بدون پرداخت کسور از لحاظ بازنشستگی اضافه خواهد شد و در صورتی که با ارفاق مذکور، خدمت این قبیل افراد از پانزده سال کمتر شود مدت خدمت آنان پانزده سال منظور خواهد شد.</w:t>
      </w:r>
    </w:p>
    <w:p w:rsidR="005E58BF" w:rsidRPr="00957AE0" w:rsidRDefault="005E58BF" w:rsidP="005E58BF">
      <w:pPr>
        <w:bidi/>
        <w:jc w:val="both"/>
        <w:rPr>
          <w:rFonts w:cs="B Nazanin"/>
          <w:sz w:val="28"/>
          <w:szCs w:val="28"/>
          <w:rtl/>
        </w:rPr>
      </w:pPr>
      <w:r w:rsidRPr="00957AE0">
        <w:rPr>
          <w:rFonts w:cs="B Nazanin" w:hint="cs"/>
          <w:sz w:val="28"/>
          <w:szCs w:val="28"/>
          <w:rtl/>
        </w:rPr>
        <w:t xml:space="preserve">تبصره(3): شاغلین </w:t>
      </w:r>
      <w:r w:rsidRPr="00957AE0">
        <w:rPr>
          <w:rFonts w:cs="B Nazanin" w:hint="cs"/>
          <w:b/>
          <w:bCs/>
          <w:sz w:val="28"/>
          <w:szCs w:val="28"/>
          <w:rtl/>
        </w:rPr>
        <w:t>مشاغل سخت و زیان آور</w:t>
      </w:r>
      <w:r w:rsidRPr="00957AE0">
        <w:rPr>
          <w:rFonts w:cs="B Nazanin" w:hint="cs"/>
          <w:sz w:val="28"/>
          <w:szCs w:val="28"/>
          <w:rtl/>
        </w:rPr>
        <w:t xml:space="preserve"> که وظایف مربوط به شغل آنان باعث بروز ناراحتی های جسمی و روحی می گردد، می توانند با داشتن حداقل بیست سال سابقه خدمت براساس درخواست کتبی خود با </w:t>
      </w:r>
      <w:r w:rsidRPr="00957AE0">
        <w:rPr>
          <w:rFonts w:cs="B Nazanin" w:hint="cs"/>
          <w:b/>
          <w:bCs/>
          <w:sz w:val="28"/>
          <w:szCs w:val="28"/>
          <w:rtl/>
        </w:rPr>
        <w:t xml:space="preserve">حداکثر پنج سال ارفاق بازنشسته </w:t>
      </w:r>
      <w:r w:rsidRPr="00957AE0">
        <w:rPr>
          <w:rFonts w:cs="B Nazanin" w:hint="cs"/>
          <w:sz w:val="28"/>
          <w:szCs w:val="28"/>
          <w:rtl/>
        </w:rPr>
        <w:t>شوند.</w:t>
      </w:r>
    </w:p>
    <w:p w:rsidR="005E58BF" w:rsidRPr="00957AE0" w:rsidRDefault="005E58BF" w:rsidP="005E58BF">
      <w:pPr>
        <w:bidi/>
        <w:jc w:val="both"/>
        <w:rPr>
          <w:rFonts w:cs="B Nazanin"/>
          <w:sz w:val="28"/>
          <w:szCs w:val="28"/>
          <w:rtl/>
        </w:rPr>
      </w:pPr>
      <w:r w:rsidRPr="00957AE0">
        <w:rPr>
          <w:rFonts w:cs="B Nazanin" w:hint="cs"/>
          <w:sz w:val="28"/>
          <w:szCs w:val="28"/>
          <w:rtl/>
        </w:rPr>
        <w:t xml:space="preserve">تبصره(4): </w:t>
      </w:r>
      <w:r w:rsidRPr="008746E1">
        <w:rPr>
          <w:rFonts w:cs="B Nazanin" w:hint="cs"/>
          <w:b/>
          <w:bCs/>
          <w:sz w:val="26"/>
          <w:szCs w:val="26"/>
          <w:rtl/>
        </w:rPr>
        <w:t>آئین نامه اجرایی ماده فوق ظرف 3 ماه با پیشنهاد سازمان امور اداری و استخدامی کشور با همکاری بنیاد شهید و سازمان بهزیستی تهیه و به تصویب هیات وزیران خواهد رسید.</w:t>
      </w:r>
    </w:p>
    <w:p w:rsidR="005E58BF" w:rsidRPr="00124BAE" w:rsidRDefault="005E58BF" w:rsidP="005E58BF">
      <w:pPr>
        <w:bidi/>
        <w:jc w:val="both"/>
        <w:rPr>
          <w:rFonts w:cs="B Nazanin"/>
          <w:sz w:val="20"/>
          <w:szCs w:val="20"/>
          <w:rtl/>
        </w:rPr>
      </w:pPr>
      <w:r w:rsidRPr="00957AE0">
        <w:rPr>
          <w:rFonts w:cs="B Nazanin" w:hint="cs"/>
          <w:sz w:val="28"/>
          <w:szCs w:val="28"/>
          <w:rtl/>
        </w:rPr>
        <w:t>قانون فوق مشتمل بر ماده واحده و چهار تبصره در جلسه علنی روز سه شنبه اول آذرماه یکهزار و سیص</w:t>
      </w:r>
      <w:r w:rsidR="00F21A7E" w:rsidRPr="00957AE0">
        <w:rPr>
          <w:rFonts w:cs="B Nazanin" w:hint="cs"/>
          <w:sz w:val="28"/>
          <w:szCs w:val="28"/>
          <w:rtl/>
        </w:rPr>
        <w:t xml:space="preserve">دو </w:t>
      </w:r>
      <w:r w:rsidR="00957AE0" w:rsidRPr="00957AE0">
        <w:rPr>
          <w:rFonts w:cs="B Nazanin" w:hint="cs"/>
          <w:sz w:val="28"/>
          <w:szCs w:val="28"/>
          <w:rtl/>
        </w:rPr>
        <w:t>شصت و هف</w:t>
      </w:r>
      <w:r w:rsidR="00957AE0" w:rsidRPr="00124BAE">
        <w:rPr>
          <w:rFonts w:cs="B Nazanin" w:hint="cs"/>
          <w:sz w:val="20"/>
          <w:szCs w:val="20"/>
          <w:rtl/>
        </w:rPr>
        <w:t>ت مجلس شورای اسلامی تصویب و در تاریخ 9/9/1367 به تایید شورای نگهبان رسیده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5"/>
        <w:gridCol w:w="1110"/>
        <w:gridCol w:w="1248"/>
      </w:tblGrid>
      <w:tr w:rsidR="00124BAE" w:rsidRPr="00124BAE" w:rsidTr="00124BAE">
        <w:trPr>
          <w:trHeight w:val="382"/>
        </w:trPr>
        <w:tc>
          <w:tcPr>
            <w:tcW w:w="550" w:type="dxa"/>
            <w:shd w:val="clear" w:color="auto" w:fill="BFBFBF" w:themeFill="background1" w:themeFillShade="BF"/>
          </w:tcPr>
          <w:p w:rsidR="00124BAE" w:rsidRPr="00124BAE" w:rsidRDefault="00124BAE" w:rsidP="00124BA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24BAE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:rsidR="00124BAE" w:rsidRPr="00124BAE" w:rsidRDefault="00124BAE" w:rsidP="00124BA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24BAE">
              <w:rPr>
                <w:rFonts w:cs="B Titr" w:hint="cs"/>
                <w:b/>
                <w:bCs/>
                <w:sz w:val="18"/>
                <w:szCs w:val="18"/>
                <w:rtl/>
              </w:rPr>
              <w:t>درصدجانبازی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124BAE" w:rsidRPr="00124BAE" w:rsidRDefault="00124BAE" w:rsidP="00124BA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24BAE">
              <w:rPr>
                <w:rFonts w:cs="B Titr" w:hint="cs"/>
                <w:b/>
                <w:bCs/>
                <w:sz w:val="18"/>
                <w:szCs w:val="18"/>
                <w:rtl/>
              </w:rPr>
              <w:t>سنوات ارفاقی</w:t>
            </w:r>
          </w:p>
        </w:tc>
      </w:tr>
      <w:tr w:rsidR="00124BAE" w:rsidTr="00124BAE">
        <w:trPr>
          <w:trHeight w:val="382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20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3 سال</w:t>
            </w:r>
          </w:p>
        </w:tc>
      </w:tr>
      <w:tr w:rsidR="00124BAE" w:rsidTr="00124BAE">
        <w:trPr>
          <w:trHeight w:val="399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25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4 سال</w:t>
            </w:r>
          </w:p>
        </w:tc>
      </w:tr>
      <w:tr w:rsidR="00124BAE" w:rsidTr="00124BAE">
        <w:trPr>
          <w:trHeight w:val="382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30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5 سال</w:t>
            </w:r>
          </w:p>
        </w:tc>
      </w:tr>
      <w:tr w:rsidR="00124BAE" w:rsidTr="00124BAE">
        <w:trPr>
          <w:trHeight w:val="382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35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6 سال</w:t>
            </w:r>
          </w:p>
        </w:tc>
      </w:tr>
      <w:tr w:rsidR="00124BAE" w:rsidTr="00124BAE">
        <w:trPr>
          <w:trHeight w:val="399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40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7 سال</w:t>
            </w:r>
          </w:p>
        </w:tc>
      </w:tr>
      <w:tr w:rsidR="00124BAE" w:rsidTr="00124BAE">
        <w:trPr>
          <w:trHeight w:val="382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45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8 سال</w:t>
            </w:r>
          </w:p>
        </w:tc>
      </w:tr>
      <w:tr w:rsidR="00124BAE" w:rsidTr="00124BAE">
        <w:trPr>
          <w:trHeight w:val="399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50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9 سال</w:t>
            </w:r>
          </w:p>
        </w:tc>
      </w:tr>
      <w:tr w:rsidR="00124BAE" w:rsidTr="00124BAE">
        <w:trPr>
          <w:trHeight w:val="399"/>
        </w:trPr>
        <w:tc>
          <w:tcPr>
            <w:tcW w:w="550" w:type="dxa"/>
            <w:shd w:val="clear" w:color="auto" w:fill="D9D9D9" w:themeFill="background1" w:themeFillShade="D9"/>
          </w:tcPr>
          <w:p w:rsidR="00124BAE" w:rsidRPr="00124BAE" w:rsidRDefault="00124BAE" w:rsidP="00957A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1065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60 درصد</w:t>
            </w:r>
          </w:p>
        </w:tc>
        <w:tc>
          <w:tcPr>
            <w:tcW w:w="1248" w:type="dxa"/>
          </w:tcPr>
          <w:p w:rsidR="00124BAE" w:rsidRPr="00124BAE" w:rsidRDefault="00124BAE" w:rsidP="00124B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4BAE">
              <w:rPr>
                <w:rFonts w:cs="B Nazanin" w:hint="cs"/>
                <w:b/>
                <w:bCs/>
                <w:sz w:val="24"/>
                <w:szCs w:val="24"/>
                <w:rtl/>
              </w:rPr>
              <w:t>10 سال</w:t>
            </w:r>
          </w:p>
        </w:tc>
      </w:tr>
    </w:tbl>
    <w:p w:rsidR="00124BAE" w:rsidRDefault="00124BAE" w:rsidP="00124BAE">
      <w:pPr>
        <w:bidi/>
        <w:jc w:val="both"/>
        <w:rPr>
          <w:rFonts w:cs="B Nazanin"/>
          <w:sz w:val="28"/>
          <w:szCs w:val="28"/>
          <w:rtl/>
        </w:rPr>
      </w:pPr>
    </w:p>
    <w:p w:rsidR="00124BAE" w:rsidRDefault="00124BAE" w:rsidP="00124BAE">
      <w:pPr>
        <w:bidi/>
        <w:jc w:val="both"/>
        <w:rPr>
          <w:rFonts w:cs="B Nazanin"/>
          <w:sz w:val="28"/>
          <w:szCs w:val="28"/>
          <w:rtl/>
        </w:rPr>
      </w:pPr>
    </w:p>
    <w:p w:rsidR="008746E1" w:rsidRDefault="008746E1" w:rsidP="008746E1">
      <w:pPr>
        <w:bidi/>
        <w:jc w:val="both"/>
        <w:rPr>
          <w:rFonts w:cs="B Nazanin"/>
          <w:sz w:val="28"/>
          <w:szCs w:val="28"/>
          <w:rtl/>
        </w:rPr>
      </w:pPr>
    </w:p>
    <w:p w:rsidR="00124BAE" w:rsidRDefault="00124BAE" w:rsidP="00124BAE">
      <w:pPr>
        <w:bidi/>
        <w:jc w:val="both"/>
        <w:rPr>
          <w:rFonts w:cs="B Nazanin"/>
          <w:sz w:val="28"/>
          <w:szCs w:val="28"/>
          <w:rtl/>
        </w:rPr>
      </w:pPr>
    </w:p>
    <w:p w:rsidR="00957AE0" w:rsidRPr="00957AE0" w:rsidRDefault="00957AE0" w:rsidP="00957AE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57AE0">
        <w:rPr>
          <w:rFonts w:cs="B Nazanin" w:hint="cs"/>
          <w:b/>
          <w:bCs/>
          <w:sz w:val="28"/>
          <w:szCs w:val="28"/>
          <w:rtl/>
        </w:rPr>
        <w:t xml:space="preserve">منبع: </w:t>
      </w:r>
    </w:p>
    <w:p w:rsidR="00957AE0" w:rsidRPr="00957AE0" w:rsidRDefault="00957AE0" w:rsidP="00957AE0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قانون حالت اشتغال و حقوق از کارافتادگی و بازنشستگی، صفحه 267</w:t>
      </w:r>
    </w:p>
    <w:sectPr w:rsidR="00957AE0" w:rsidRPr="00957AE0" w:rsidSect="003364B2">
      <w:pgSz w:w="11907" w:h="16839" w:code="9"/>
      <w:pgMar w:top="993" w:right="992" w:bottom="1440" w:left="993" w:header="720" w:footer="720" w:gutter="0"/>
      <w:pgBorders w:offsetFrom="page">
        <w:top w:val="marquee" w:sz="4" w:space="24" w:color="auto"/>
        <w:left w:val="marquee" w:sz="4" w:space="24" w:color="auto"/>
        <w:bottom w:val="marquee" w:sz="4" w:space="24" w:color="auto"/>
        <w:right w:val="marque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F8" w:rsidRDefault="00A84BF8" w:rsidP="0061220B">
      <w:pPr>
        <w:spacing w:after="0" w:line="240" w:lineRule="auto"/>
      </w:pPr>
      <w:r>
        <w:separator/>
      </w:r>
    </w:p>
  </w:endnote>
  <w:endnote w:type="continuationSeparator" w:id="0">
    <w:p w:rsidR="00A84BF8" w:rsidRDefault="00A84BF8" w:rsidP="0061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F8" w:rsidRDefault="00A84BF8" w:rsidP="0061220B">
      <w:pPr>
        <w:spacing w:after="0" w:line="240" w:lineRule="auto"/>
      </w:pPr>
      <w:r>
        <w:separator/>
      </w:r>
    </w:p>
  </w:footnote>
  <w:footnote w:type="continuationSeparator" w:id="0">
    <w:p w:rsidR="00A84BF8" w:rsidRDefault="00A84BF8" w:rsidP="00612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0B"/>
    <w:rsid w:val="00124BAE"/>
    <w:rsid w:val="0025105C"/>
    <w:rsid w:val="003364B2"/>
    <w:rsid w:val="003D0157"/>
    <w:rsid w:val="005E58BF"/>
    <w:rsid w:val="0061220B"/>
    <w:rsid w:val="007C67E6"/>
    <w:rsid w:val="0081177D"/>
    <w:rsid w:val="008746E1"/>
    <w:rsid w:val="00957AE0"/>
    <w:rsid w:val="00A84BF8"/>
    <w:rsid w:val="00B072A3"/>
    <w:rsid w:val="00C25749"/>
    <w:rsid w:val="00C546E7"/>
    <w:rsid w:val="00E6558A"/>
    <w:rsid w:val="00F21A7E"/>
    <w:rsid w:val="00F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20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1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20B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0B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33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5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20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1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20B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0B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33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مسعود سراسکندی</dc:creator>
  <cp:lastModifiedBy>Venus Parsa</cp:lastModifiedBy>
  <cp:revision>2</cp:revision>
  <cp:lastPrinted>2019-10-01T11:17:00Z</cp:lastPrinted>
  <dcterms:created xsi:type="dcterms:W3CDTF">2019-10-12T04:34:00Z</dcterms:created>
  <dcterms:modified xsi:type="dcterms:W3CDTF">2019-10-12T04:34:00Z</dcterms:modified>
</cp:coreProperties>
</file>